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детей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детей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2сентября, при взаимодействии Общественной Палаты Богородскогогородского округа и Женсовета Ногинского СЦ МЧС России для детейвоеннослужащих и сотрудников центра, а также жителей городка былпроведен детский праздник «Во дворе!».</w:t>
            </w:r>
            <w:br/>
            <w:br/>
            <w:r>
              <w:rPr/>
              <w:t xml:space="preserve">Семьи  вышли на улицу, чтобы весело провести этот вечер. Былодушевно и многолюдно. Родители вместе с детьми активно принималиучастие в играх, танцевали и просто общались.</w:t>
            </w:r>
            <w:br/>
            <w:br/>
            <w:r>
              <w:rPr/>
              <w:t xml:space="preserve">В мероприятии также приняли участие представители Местногоотделения Молодой Гвардии Единой России Богородского городскогоокруга Московской области, «Юный спасатель» Ногинского СЦ, студияпраздников «Карамелия» и Богородский хладокомбинат.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2026-02-23T01:35:16+03:00</dcterms:created>
  <dcterms:modified xsi:type="dcterms:W3CDTF">2026-02-23T01:35:16+03:00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