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акции поблагоустройству памятных мест и захоронений.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акции по благоустройствупамятных мест и захоронений.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врамках акции по благоустройству памятных мест и захоронений, атакже в целях качественной подготовки к проведению 25 сентября «Дняпамяти погибших и пропавших без вести на Северном Кавказе», личныйсостав Ногинского ордена Жукова спасательного центра МЧС Россиивыполнил работы по приведению в надлежащее состояние воинскихзахоронений на кладбище в Богородском городском округе.Военнослужащие убрали сорняки, листву, очистили от пыли и грязипамятники, обновили старую краску на оградах, а также спилилисухостой.</w:t>
            </w:r>
            <w:br/>
            <w:br/>
            <w:r>
              <w:rPr/>
              <w:t xml:space="preserve">25 сентября «День памяти погибших и пропавших без вести на СеверномКавказе» - это не просто дата в календаре, а день, наполненныйэмоциями и воспоминаниями, не имеющий срока давности. В этот деньна Богородское кладбище со всех уголков нашей большой страныприезжают родители, дети, жёны, друзья, чьи близкие люди отдалижизни за мир, справедливость, чьи подвиги навсегда останутся внашей истории, памяти и в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2025-11-26T06:29:38+03:00</dcterms:created>
  <dcterms:modified xsi:type="dcterms:W3CDTF">2025-11-26T06:29:38+03:00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