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Автопарк Ногинского спасцентра пополнился новымимотоциклами.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Автопарк Ногинского спасцентра пополнился новыми мотоциклами.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 новыхбайка поступили на вооружение Ногинского спасательного центра МЧСРоссии. Глава ведомства Александр Куренков особо акцентируетвнимание на повышение оперативности реагирующих подразделений. "Вспасении счет идет на минуты, порой - на секунды", - не раз отмечалруководитель МЧС России.</w:t>
            </w:r>
            <w:br/>
            <w:br/>
            <w:r>
              <w:rPr/>
              <w:t xml:space="preserve">Маневренный транспорт позволяет оперативно прибывать к местувызова. На них личный состав пожарно-спасательных подразделений,минуя заторы на дорогах, первым доезжает к месту пожара идоставляет спецсредства и оборудование. Это дает специалистамвозможность незамедлительно приступить к первоочередным работам доприбытия основных сил. Так возможно локализовать пожар в начальнойстадии его развития или сдержать распространение огня до прибытияпожарных расчетов.</w:t>
            </w:r>
            <w:br/>
            <w:br/>
            <w:r>
              <w:rPr/>
              <w:t xml:space="preserve">В условиях загруженности города или бездорожья мотоспасатели -первые помощники при ликвидации последствий ДТП.Аварийно-спасательный инструмент для разжима и резки металлапозволяет деблокировать пострадавших из авто. В медицинскихаптечках достаточно медикаментов и перевязочных материалов дляоказания первой помощи на месте до прибытия скорой.</w:t>
            </w:r>
            <w:br/>
            <w:br/>
            <w:r>
              <w:rPr/>
              <w:t xml:space="preserve">Также мотоциклы применяются для патрулирования и мониторингаоперативной обстановки. В пожароопасный период спасатели объезжаютв районы риска, контролируя ситуацию.</w:t>
            </w:r>
            <w:br/>
            <w:br/>
            <w:r>
              <w:rPr/>
              <w:t xml:space="preserve">На новых мотоциклах спасатели будут проходить подготовку повождению категории «А». Поставка новой техники реализована приучастии Фонда поддержки и развития государственных органов по деламгражданской обороны и чрезвычайным ситуациям.</w:t>
            </w:r>
            <w:br/>
            <w:br/>
            <w:r>
              <w:rPr/>
              <w:t xml:space="preserve">Источник:https://mchs.gov.ru/deyatelnost/press-centr/novosti/5471889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2025-11-26T06:56:19+03:00</dcterms:created>
  <dcterms:modified xsi:type="dcterms:W3CDTF">2025-11-26T06:56:19+03:00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